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経費の流れ</w:t>
      </w:r>
    </w:p>
    <w:p>
      <w:pPr>
        <w:spacing w:after="140"/>
      </w:pPr>
      <w:r>
        <w:rPr>
          <w:color w:val="5E6A73"/>
          <w:sz w:val="19"/>
        </w:rPr>
        <w:t>領収書から確認まで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DOC-CONSTRUCTION-0006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領収書と内容を見て、会社の決め方に沿って申請します。税務判断は人が確認します。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